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Affection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Buoyant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Cease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Content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Deck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Dwindle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Essential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Expedition +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Gale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Glacier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Harbor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Hostile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Hull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Indecision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Kennel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Latitude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Maroon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Mast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Morale +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Mutiny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Navigate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Obligation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Personality +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Psychological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Rudder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Rugged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Sail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Tedium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Terse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